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142"/>
        <w:jc w:val="center"/>
        <w:rPr>
          <w:rFonts w:ascii="Garamond" w:cs="Garamond" w:hAnsi="Garamond" w:eastAsia="Garamond"/>
          <w:b w:val="1"/>
          <w:bCs w:val="1"/>
          <w:kern w:val="2"/>
          <w:sz w:val="28"/>
          <w:szCs w:val="28"/>
          <w:u w:color="000000"/>
          <w:rtl w:val="0"/>
          <w:lang w:val="ru-RU"/>
        </w:rPr>
      </w:pPr>
      <w:r>
        <w:rPr>
          <w:rFonts w:ascii="Garamond" w:hAnsi="Garamond"/>
          <w:b w:val="1"/>
          <w:bCs w:val="1"/>
          <w:kern w:val="2"/>
          <w:sz w:val="28"/>
          <w:szCs w:val="28"/>
          <w:u w:color="000000"/>
          <w:rtl w:val="0"/>
          <w:lang w:val="ru-RU"/>
        </w:rPr>
        <w:t>SOLICITUD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es-ES_tradnl"/>
        </w:rPr>
        <w:t>de participaci</w:t>
      </w:r>
      <w:r>
        <w:rPr>
          <w:rFonts w:ascii="Garamond" w:hAnsi="Garamond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Garamond" w:hAnsi="Garamond"/>
          <w:b w:val="1"/>
          <w:bCs w:val="1"/>
          <w:sz w:val="28"/>
          <w:szCs w:val="28"/>
          <w:rtl w:val="0"/>
          <w:lang w:val="es-ES_tradnl"/>
        </w:rPr>
        <w:t>n en la III Conferencia Internacional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 w:hint="default"/>
          <w:b w:val="1"/>
          <w:bCs w:val="1"/>
          <w:sz w:val="28"/>
          <w:szCs w:val="28"/>
          <w:rtl w:val="0"/>
          <w:lang w:val="fr-FR"/>
        </w:rPr>
        <w:t>«</w:t>
      </w:r>
      <w:r>
        <w:rPr>
          <w:rFonts w:ascii="Garamond" w:hAnsi="Garamond"/>
          <w:b w:val="1"/>
          <w:bCs w:val="1"/>
          <w:sz w:val="28"/>
          <w:szCs w:val="28"/>
          <w:rtl w:val="0"/>
          <w:lang w:val="es-ES_tradnl"/>
        </w:rPr>
        <w:t>Lecturas Latinoamericanas</w:t>
      </w:r>
      <w:r>
        <w:rPr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142"/>
        <w:jc w:val="left"/>
        <w:rPr>
          <w:rFonts w:ascii="Garamond" w:cs="Garamond" w:hAnsi="Garamond" w:eastAsia="Garamond"/>
          <w:b w:val="1"/>
          <w:bCs w:val="1"/>
          <w:kern w:val="2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142"/>
        <w:jc w:val="left"/>
        <w:rPr>
          <w:rFonts w:ascii="Garamond" w:cs="Garamond" w:hAnsi="Garamond" w:eastAsia="Garamond"/>
          <w:b w:val="1"/>
          <w:bCs w:val="1"/>
          <w:kern w:val="2"/>
          <w:sz w:val="28"/>
          <w:szCs w:val="28"/>
          <w:u w:color="000000"/>
          <w:rtl w:val="0"/>
          <w:lang w:val="ru-RU"/>
        </w:rPr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49"/>
        <w:gridCol w:w="6289"/>
      </w:tblGrid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ru-RU"/>
              </w:rPr>
              <w:t>Nombre y apellidos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ru-RU"/>
              </w:rPr>
              <w:t>Filiaci</w:t>
            </w:r>
            <w:r>
              <w:rPr>
                <w:rFonts w:ascii="Garamond" w:hAnsi="Garamond" w:hint="default"/>
                <w:kern w:val="2"/>
                <w:sz w:val="28"/>
                <w:szCs w:val="28"/>
                <w:u w:color="000000"/>
                <w:rtl w:val="0"/>
                <w:lang w:val="ru-RU"/>
              </w:rPr>
              <w:t>ó</w:t>
            </w: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ru-RU"/>
              </w:rPr>
              <w:t>n institucional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Garamond" w:hAnsi="Garamond" w:hint="default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Garamond" w:hAnsi="Garamond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ru-RU"/>
              </w:rPr>
              <w:t>T</w:t>
            </w:r>
            <w:r>
              <w:rPr>
                <w:rFonts w:ascii="Garamond" w:hAnsi="Garamond" w:hint="default"/>
                <w:kern w:val="2"/>
                <w:sz w:val="28"/>
                <w:szCs w:val="28"/>
                <w:u w:color="000000"/>
                <w:rtl w:val="0"/>
                <w:lang w:val="ru-RU"/>
              </w:rPr>
              <w:t>é</w:t>
            </w: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ru-RU"/>
              </w:rPr>
              <w:t>lefono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Correo electr</w:t>
            </w:r>
            <w:r>
              <w:rPr>
                <w:rFonts w:ascii="Garamond" w:hAnsi="Garamond" w:hint="default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Garamond" w:hAnsi="Garamond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nico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ru-RU"/>
              </w:rPr>
              <w:t>El tema de la ponencia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1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rtl w:val="0"/>
                <w:lang w:val="en-US"/>
              </w:rPr>
              <w:t>Resumen</w:t>
            </w:r>
            <w:r>
              <w:rPr>
                <w:rFonts w:ascii="Garamond" w:hAnsi="Garamond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Garamond" w:hAnsi="Garamond"/>
                <w:i w:val="1"/>
                <w:iCs w:val="1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ru-RU"/>
              </w:rPr>
              <w:t xml:space="preserve">(1500-2000 </w:t>
            </w:r>
            <w:r>
              <w:rPr>
                <w:rFonts w:ascii="Garamond" w:hAnsi="Garamond"/>
                <w:i w:val="1"/>
                <w:iCs w:val="1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caracteres</w:t>
            </w:r>
            <w:r>
              <w:rPr>
                <w:rFonts w:ascii="Garamond" w:hAnsi="Garamond"/>
                <w:i w:val="1"/>
                <w:iCs w:val="1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kern w:val="2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La lengua de la ponencia</w:t>
            </w:r>
          </w:p>
        </w:tc>
        <w:tc>
          <w:tcPr>
            <w:tcW w:type="dxa" w:w="6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